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985"/>
        <w:gridCol w:w="6804"/>
        <w:gridCol w:w="3544"/>
        <w:gridCol w:w="1417"/>
      </w:tblGrid>
      <w:tr w:rsidR="00286E8B" w:rsidTr="00286E8B">
        <w:tc>
          <w:tcPr>
            <w:tcW w:w="15446" w:type="dxa"/>
            <w:gridSpan w:val="6"/>
            <w:tcBorders>
              <w:top w:val="single" w:sz="4" w:space="0" w:color="auto"/>
              <w:left w:val="single" w:sz="4" w:space="0" w:color="auto"/>
              <w:bottom w:val="single" w:sz="4" w:space="0" w:color="auto"/>
              <w:right w:val="single" w:sz="4" w:space="0" w:color="auto"/>
            </w:tcBorders>
            <w:vAlign w:val="center"/>
            <w:hideMark/>
          </w:tcPr>
          <w:p w:rsidR="00286E8B" w:rsidRDefault="00286E8B">
            <w:pPr>
              <w:spacing w:after="120"/>
              <w:rPr>
                <w:rFonts w:ascii="Calibri" w:hAnsi="Calibri" w:cs="Calibri"/>
                <w:b/>
                <w:i/>
                <w:sz w:val="22"/>
                <w:szCs w:val="22"/>
              </w:rPr>
            </w:pPr>
            <w:r>
              <w:rPr>
                <w:rFonts w:ascii="Calibri" w:hAnsi="Calibri" w:cs="Calibri"/>
                <w:b/>
                <w:sz w:val="22"/>
                <w:szCs w:val="22"/>
              </w:rPr>
              <w:t>Nazwa dokumentu: projekt ustawy o zapewnianiu spełniania wymogów dostępności niektórych produktów i usług przez podmioty gospodarcze (poprzedni tytuł: ustawa o dostępności niektórych produktów i usług)</w:t>
            </w:r>
          </w:p>
        </w:tc>
      </w:tr>
      <w:tr w:rsidR="00286E8B" w:rsidTr="00286E8B">
        <w:tc>
          <w:tcPr>
            <w:tcW w:w="562" w:type="dxa"/>
            <w:tcBorders>
              <w:top w:val="single" w:sz="4" w:space="0" w:color="auto"/>
              <w:left w:val="single" w:sz="4" w:space="0" w:color="auto"/>
              <w:bottom w:val="single" w:sz="4" w:space="0" w:color="auto"/>
              <w:right w:val="single" w:sz="4" w:space="0" w:color="auto"/>
            </w:tcBorders>
            <w:vAlign w:val="center"/>
            <w:hideMark/>
          </w:tcPr>
          <w:p w:rsidR="00286E8B" w:rsidRDefault="00286E8B">
            <w:pPr>
              <w:spacing w:after="120"/>
              <w:jc w:val="center"/>
              <w:rPr>
                <w:rFonts w:ascii="Calibri" w:hAnsi="Calibri" w:cs="Calibri"/>
                <w:b/>
                <w:sz w:val="22"/>
                <w:szCs w:val="22"/>
              </w:rPr>
            </w:pPr>
            <w:r>
              <w:rPr>
                <w:rFonts w:ascii="Calibri" w:hAnsi="Calibri" w:cs="Calibri"/>
                <w:b/>
                <w:sz w:val="22"/>
                <w:szCs w:val="22"/>
              </w:rPr>
              <w:t>Lp.</w:t>
            </w:r>
          </w:p>
        </w:tc>
        <w:tc>
          <w:tcPr>
            <w:tcW w:w="1134" w:type="dxa"/>
            <w:tcBorders>
              <w:top w:val="single" w:sz="4" w:space="0" w:color="auto"/>
              <w:left w:val="single" w:sz="4" w:space="0" w:color="auto"/>
              <w:bottom w:val="single" w:sz="4" w:space="0" w:color="auto"/>
              <w:right w:val="single" w:sz="4" w:space="0" w:color="auto"/>
            </w:tcBorders>
            <w:vAlign w:val="center"/>
            <w:hideMark/>
          </w:tcPr>
          <w:p w:rsidR="00286E8B" w:rsidRDefault="00286E8B">
            <w:pPr>
              <w:spacing w:after="120"/>
              <w:jc w:val="center"/>
              <w:rPr>
                <w:rFonts w:ascii="Calibri" w:hAnsi="Calibri" w:cs="Calibri"/>
                <w:b/>
                <w:sz w:val="22"/>
                <w:szCs w:val="22"/>
              </w:rPr>
            </w:pPr>
            <w:r>
              <w:rPr>
                <w:rFonts w:ascii="Calibri" w:hAnsi="Calibri" w:cs="Calibri"/>
                <w:b/>
                <w:sz w:val="22"/>
                <w:szCs w:val="22"/>
              </w:rPr>
              <w:t>Organ wnoszący uwagi</w:t>
            </w:r>
          </w:p>
        </w:tc>
        <w:tc>
          <w:tcPr>
            <w:tcW w:w="1985" w:type="dxa"/>
            <w:tcBorders>
              <w:top w:val="single" w:sz="4" w:space="0" w:color="auto"/>
              <w:left w:val="single" w:sz="4" w:space="0" w:color="auto"/>
              <w:bottom w:val="single" w:sz="4" w:space="0" w:color="auto"/>
              <w:right w:val="single" w:sz="4" w:space="0" w:color="auto"/>
            </w:tcBorders>
            <w:vAlign w:val="center"/>
            <w:hideMark/>
          </w:tcPr>
          <w:p w:rsidR="00286E8B" w:rsidRDefault="00286E8B">
            <w:pPr>
              <w:spacing w:after="120"/>
              <w:jc w:val="center"/>
              <w:rPr>
                <w:rFonts w:ascii="Calibri" w:hAnsi="Calibri" w:cs="Calibri"/>
                <w:b/>
                <w:sz w:val="22"/>
                <w:szCs w:val="22"/>
              </w:rPr>
            </w:pPr>
            <w:r>
              <w:rPr>
                <w:rFonts w:ascii="Calibri" w:hAnsi="Calibri" w:cs="Calibri"/>
                <w:b/>
                <w:sz w:val="22"/>
                <w:szCs w:val="22"/>
              </w:rPr>
              <w:t>Jednostka redakcyjna, do której wnoszone są uwagi</w:t>
            </w:r>
          </w:p>
        </w:tc>
        <w:tc>
          <w:tcPr>
            <w:tcW w:w="6804" w:type="dxa"/>
            <w:tcBorders>
              <w:top w:val="single" w:sz="4" w:space="0" w:color="auto"/>
              <w:left w:val="single" w:sz="4" w:space="0" w:color="auto"/>
              <w:bottom w:val="single" w:sz="4" w:space="0" w:color="auto"/>
              <w:right w:val="single" w:sz="4" w:space="0" w:color="auto"/>
            </w:tcBorders>
            <w:vAlign w:val="center"/>
            <w:hideMark/>
          </w:tcPr>
          <w:p w:rsidR="00286E8B" w:rsidRDefault="00286E8B">
            <w:pPr>
              <w:spacing w:after="120"/>
              <w:jc w:val="center"/>
              <w:rPr>
                <w:rFonts w:ascii="Calibri" w:hAnsi="Calibri" w:cs="Calibri"/>
                <w:b/>
                <w:sz w:val="22"/>
                <w:szCs w:val="22"/>
              </w:rPr>
            </w:pPr>
            <w:r>
              <w:rPr>
                <w:rFonts w:ascii="Calibri" w:hAnsi="Calibri" w:cs="Calibri"/>
                <w:b/>
                <w:sz w:val="22"/>
                <w:szCs w:val="22"/>
              </w:rPr>
              <w:t>Treść uwagi</w:t>
            </w:r>
          </w:p>
        </w:tc>
        <w:tc>
          <w:tcPr>
            <w:tcW w:w="3544" w:type="dxa"/>
            <w:tcBorders>
              <w:top w:val="single" w:sz="4" w:space="0" w:color="auto"/>
              <w:left w:val="single" w:sz="4" w:space="0" w:color="auto"/>
              <w:bottom w:val="single" w:sz="4" w:space="0" w:color="auto"/>
              <w:right w:val="single" w:sz="4" w:space="0" w:color="auto"/>
            </w:tcBorders>
            <w:vAlign w:val="center"/>
            <w:hideMark/>
          </w:tcPr>
          <w:p w:rsidR="00286E8B" w:rsidRDefault="00286E8B">
            <w:pPr>
              <w:spacing w:after="120"/>
              <w:jc w:val="center"/>
              <w:rPr>
                <w:rFonts w:ascii="Calibri" w:hAnsi="Calibri" w:cs="Calibri"/>
                <w:b/>
                <w:sz w:val="22"/>
                <w:szCs w:val="22"/>
              </w:rPr>
            </w:pPr>
            <w:r>
              <w:rPr>
                <w:rFonts w:ascii="Calibri" w:hAnsi="Calibri" w:cs="Calibri"/>
                <w:b/>
                <w:sz w:val="22"/>
                <w:szCs w:val="22"/>
              </w:rPr>
              <w:t>Propozycja zmian zapisu</w:t>
            </w:r>
          </w:p>
        </w:tc>
        <w:tc>
          <w:tcPr>
            <w:tcW w:w="1417" w:type="dxa"/>
            <w:tcBorders>
              <w:top w:val="single" w:sz="4" w:space="0" w:color="auto"/>
              <w:left w:val="single" w:sz="4" w:space="0" w:color="auto"/>
              <w:bottom w:val="single" w:sz="4" w:space="0" w:color="auto"/>
              <w:right w:val="single" w:sz="4" w:space="0" w:color="auto"/>
            </w:tcBorders>
            <w:vAlign w:val="center"/>
            <w:hideMark/>
          </w:tcPr>
          <w:p w:rsidR="00286E8B" w:rsidRDefault="00286E8B">
            <w:pPr>
              <w:spacing w:after="120"/>
              <w:jc w:val="center"/>
              <w:rPr>
                <w:rFonts w:ascii="Calibri" w:hAnsi="Calibri" w:cs="Calibri"/>
                <w:b/>
                <w:sz w:val="22"/>
                <w:szCs w:val="22"/>
              </w:rPr>
            </w:pPr>
            <w:r>
              <w:rPr>
                <w:rFonts w:ascii="Calibri" w:hAnsi="Calibri" w:cs="Calibri"/>
                <w:b/>
                <w:sz w:val="22"/>
                <w:szCs w:val="22"/>
              </w:rPr>
              <w:t>Odniesienie do uwagi</w:t>
            </w:r>
          </w:p>
        </w:tc>
      </w:tr>
      <w:tr w:rsidR="00286E8B" w:rsidTr="00286E8B">
        <w:tc>
          <w:tcPr>
            <w:tcW w:w="562" w:type="dxa"/>
            <w:tcBorders>
              <w:top w:val="single" w:sz="4" w:space="0" w:color="auto"/>
              <w:left w:val="single" w:sz="4" w:space="0" w:color="auto"/>
              <w:bottom w:val="single" w:sz="4" w:space="0" w:color="auto"/>
              <w:right w:val="single" w:sz="4" w:space="0" w:color="auto"/>
            </w:tcBorders>
            <w:hideMark/>
          </w:tcPr>
          <w:p w:rsidR="00286E8B" w:rsidRDefault="00286E8B">
            <w:pPr>
              <w:spacing w:after="120"/>
              <w:jc w:val="center"/>
              <w:rPr>
                <w:rFonts w:ascii="Calibri" w:hAnsi="Calibri" w:cs="Calibri"/>
                <w:b/>
                <w:sz w:val="22"/>
                <w:szCs w:val="22"/>
              </w:rPr>
            </w:pPr>
            <w:r>
              <w:rPr>
                <w:rFonts w:ascii="Calibri" w:hAnsi="Calibri" w:cs="Calibri"/>
                <w:b/>
                <w:sz w:val="22"/>
                <w:szCs w:val="22"/>
              </w:rPr>
              <w:t>1</w:t>
            </w:r>
          </w:p>
        </w:tc>
        <w:tc>
          <w:tcPr>
            <w:tcW w:w="1134" w:type="dxa"/>
            <w:tcBorders>
              <w:top w:val="single" w:sz="4" w:space="0" w:color="auto"/>
              <w:left w:val="single" w:sz="4" w:space="0" w:color="auto"/>
              <w:bottom w:val="single" w:sz="4" w:space="0" w:color="auto"/>
              <w:right w:val="single" w:sz="4" w:space="0" w:color="auto"/>
            </w:tcBorders>
            <w:hideMark/>
          </w:tcPr>
          <w:p w:rsidR="00286E8B" w:rsidRDefault="00286E8B">
            <w:pPr>
              <w:spacing w:after="120"/>
              <w:jc w:val="center"/>
              <w:rPr>
                <w:rFonts w:ascii="Calibri" w:hAnsi="Calibri" w:cs="Calibri"/>
                <w:sz w:val="22"/>
                <w:szCs w:val="22"/>
              </w:rPr>
            </w:pPr>
            <w:r>
              <w:rPr>
                <w:rFonts w:ascii="Calibri" w:hAnsi="Calibri" w:cs="Calibri"/>
                <w:sz w:val="22"/>
                <w:szCs w:val="22"/>
              </w:rPr>
              <w:t>MC</w:t>
            </w:r>
          </w:p>
        </w:tc>
        <w:tc>
          <w:tcPr>
            <w:tcW w:w="1985" w:type="dxa"/>
            <w:tcBorders>
              <w:top w:val="single" w:sz="4" w:space="0" w:color="auto"/>
              <w:left w:val="single" w:sz="4" w:space="0" w:color="auto"/>
              <w:bottom w:val="single" w:sz="4" w:space="0" w:color="auto"/>
              <w:right w:val="single" w:sz="4" w:space="0" w:color="auto"/>
            </w:tcBorders>
            <w:hideMark/>
          </w:tcPr>
          <w:p w:rsidR="00286E8B" w:rsidRDefault="00286E8B">
            <w:pPr>
              <w:spacing w:after="120"/>
              <w:jc w:val="center"/>
              <w:rPr>
                <w:rFonts w:ascii="Calibri" w:hAnsi="Calibri" w:cs="Calibri"/>
                <w:sz w:val="22"/>
                <w:szCs w:val="22"/>
              </w:rPr>
            </w:pPr>
            <w:r>
              <w:rPr>
                <w:rFonts w:ascii="Calibri" w:hAnsi="Calibri" w:cs="Calibri"/>
                <w:sz w:val="22"/>
                <w:szCs w:val="22"/>
              </w:rPr>
              <w:t>Uwaga ogólna</w:t>
            </w:r>
          </w:p>
        </w:tc>
        <w:tc>
          <w:tcPr>
            <w:tcW w:w="6804" w:type="dxa"/>
            <w:tcBorders>
              <w:top w:val="single" w:sz="4" w:space="0" w:color="auto"/>
              <w:left w:val="single" w:sz="4" w:space="0" w:color="auto"/>
              <w:bottom w:val="single" w:sz="4" w:space="0" w:color="auto"/>
              <w:right w:val="single" w:sz="4" w:space="0" w:color="auto"/>
            </w:tcBorders>
            <w:hideMark/>
          </w:tcPr>
          <w:p w:rsidR="00286E8B" w:rsidRDefault="00286E8B">
            <w:pPr>
              <w:spacing w:after="120"/>
              <w:rPr>
                <w:rFonts w:ascii="Calibri" w:hAnsi="Calibri" w:cs="Calibri"/>
                <w:sz w:val="22"/>
                <w:szCs w:val="22"/>
              </w:rPr>
            </w:pPr>
            <w:r>
              <w:rPr>
                <w:rFonts w:ascii="Calibri" w:hAnsi="Calibri" w:cs="Calibri"/>
                <w:color w:val="000000" w:themeColor="text1"/>
                <w:sz w:val="22"/>
                <w:szCs w:val="22"/>
                <w:shd w:val="clear" w:color="auto" w:fill="FFFFFF"/>
              </w:rPr>
              <w:t>Projekt dotyczy m.in. przetwarzania danych osobowych oraz odwołuje się w swoich przepisach do uwzględniania ochrony danych osobowych. Ze stron RCL dotyczących procesu legislacyjnego dla tego projektu wynika, że projekt ten nie został dotychczas wysłany do opiniowania do Prezesa UODO. Tym samym projektodawca nie spełnił dla tego projektu obowiązku z art. 51 ustawy o ochronie danych osobowych oraz z § 38 ust. 1 pkt 3 Regulaminu Pracy Rady Ministrów. Zgodnie z art. 51 ustawy o ochronie danych osobowych oraz § 38 ust. 1 pkt 3 Regulaminu Pracy Rady Ministrów projekty aktów prawnych dotyczące danych osobowych są przedstawiane do zaopiniowania Prezesowi Urzędu Ochrony Danych Osobowych.</w:t>
            </w:r>
          </w:p>
        </w:tc>
        <w:tc>
          <w:tcPr>
            <w:tcW w:w="3544" w:type="dxa"/>
            <w:tcBorders>
              <w:top w:val="single" w:sz="4" w:space="0" w:color="auto"/>
              <w:left w:val="single" w:sz="4" w:space="0" w:color="auto"/>
              <w:bottom w:val="single" w:sz="4" w:space="0" w:color="auto"/>
              <w:right w:val="single" w:sz="4" w:space="0" w:color="auto"/>
            </w:tcBorders>
          </w:tcPr>
          <w:p w:rsidR="00286E8B" w:rsidRDefault="00286E8B">
            <w:pPr>
              <w:spacing w:after="120"/>
              <w:jc w:val="center"/>
              <w:rPr>
                <w:rFonts w:ascii="Calibri" w:hAnsi="Calibri" w:cs="Calibri"/>
                <w:sz w:val="22"/>
                <w:szCs w:val="22"/>
              </w:rPr>
            </w:pPr>
          </w:p>
        </w:tc>
        <w:tc>
          <w:tcPr>
            <w:tcW w:w="1417" w:type="dxa"/>
            <w:tcBorders>
              <w:top w:val="single" w:sz="4" w:space="0" w:color="auto"/>
              <w:left w:val="single" w:sz="4" w:space="0" w:color="auto"/>
              <w:bottom w:val="single" w:sz="4" w:space="0" w:color="auto"/>
              <w:right w:val="single" w:sz="4" w:space="0" w:color="auto"/>
            </w:tcBorders>
          </w:tcPr>
          <w:p w:rsidR="00286E8B" w:rsidRDefault="00286E8B">
            <w:pPr>
              <w:spacing w:after="120"/>
              <w:jc w:val="center"/>
              <w:rPr>
                <w:rFonts w:ascii="Calibri" w:hAnsi="Calibri" w:cs="Calibri"/>
                <w:sz w:val="22"/>
                <w:szCs w:val="22"/>
              </w:rPr>
            </w:pPr>
          </w:p>
        </w:tc>
      </w:tr>
      <w:tr w:rsidR="00286E8B" w:rsidTr="00286E8B">
        <w:tc>
          <w:tcPr>
            <w:tcW w:w="562" w:type="dxa"/>
            <w:tcBorders>
              <w:top w:val="single" w:sz="4" w:space="0" w:color="auto"/>
              <w:left w:val="single" w:sz="4" w:space="0" w:color="auto"/>
              <w:bottom w:val="single" w:sz="4" w:space="0" w:color="auto"/>
              <w:right w:val="single" w:sz="4" w:space="0" w:color="auto"/>
            </w:tcBorders>
            <w:hideMark/>
          </w:tcPr>
          <w:p w:rsidR="00286E8B" w:rsidRDefault="00286E8B">
            <w:pPr>
              <w:spacing w:after="120"/>
              <w:jc w:val="center"/>
              <w:rPr>
                <w:rFonts w:ascii="Calibri" w:hAnsi="Calibri" w:cs="Calibri"/>
                <w:b/>
                <w:sz w:val="22"/>
                <w:szCs w:val="22"/>
              </w:rPr>
            </w:pPr>
            <w:r>
              <w:rPr>
                <w:rFonts w:ascii="Calibri" w:hAnsi="Calibri" w:cs="Calibri"/>
                <w:b/>
                <w:sz w:val="22"/>
                <w:szCs w:val="22"/>
              </w:rPr>
              <w:t>2</w:t>
            </w:r>
          </w:p>
        </w:tc>
        <w:tc>
          <w:tcPr>
            <w:tcW w:w="1134" w:type="dxa"/>
            <w:tcBorders>
              <w:top w:val="single" w:sz="4" w:space="0" w:color="auto"/>
              <w:left w:val="single" w:sz="4" w:space="0" w:color="auto"/>
              <w:bottom w:val="single" w:sz="4" w:space="0" w:color="auto"/>
              <w:right w:val="single" w:sz="4" w:space="0" w:color="auto"/>
            </w:tcBorders>
            <w:hideMark/>
          </w:tcPr>
          <w:p w:rsidR="00286E8B" w:rsidRDefault="00286E8B">
            <w:pPr>
              <w:spacing w:after="120"/>
              <w:jc w:val="center"/>
              <w:rPr>
                <w:rFonts w:ascii="Calibri" w:hAnsi="Calibri" w:cs="Calibri"/>
                <w:sz w:val="22"/>
                <w:szCs w:val="22"/>
              </w:rPr>
            </w:pPr>
            <w:r>
              <w:rPr>
                <w:rFonts w:ascii="Calibri" w:hAnsi="Calibri" w:cs="Calibri"/>
                <w:sz w:val="22"/>
                <w:szCs w:val="22"/>
              </w:rPr>
              <w:t>MC</w:t>
            </w:r>
          </w:p>
        </w:tc>
        <w:tc>
          <w:tcPr>
            <w:tcW w:w="1985" w:type="dxa"/>
            <w:tcBorders>
              <w:top w:val="single" w:sz="4" w:space="0" w:color="auto"/>
              <w:left w:val="single" w:sz="4" w:space="0" w:color="auto"/>
              <w:bottom w:val="single" w:sz="4" w:space="0" w:color="auto"/>
              <w:right w:val="single" w:sz="4" w:space="0" w:color="auto"/>
            </w:tcBorders>
            <w:hideMark/>
          </w:tcPr>
          <w:p w:rsidR="00286E8B" w:rsidRDefault="00286E8B">
            <w:pPr>
              <w:spacing w:after="120"/>
              <w:jc w:val="center"/>
              <w:rPr>
                <w:rFonts w:ascii="Calibri" w:hAnsi="Calibri" w:cs="Calibri"/>
                <w:sz w:val="22"/>
                <w:szCs w:val="22"/>
              </w:rPr>
            </w:pPr>
            <w:r>
              <w:rPr>
                <w:rFonts w:ascii="Calibri" w:hAnsi="Calibri" w:cs="Calibri"/>
                <w:sz w:val="22"/>
                <w:szCs w:val="22"/>
              </w:rPr>
              <w:t>Art. 5</w:t>
            </w:r>
          </w:p>
        </w:tc>
        <w:tc>
          <w:tcPr>
            <w:tcW w:w="6804" w:type="dxa"/>
            <w:tcBorders>
              <w:top w:val="single" w:sz="4" w:space="0" w:color="auto"/>
              <w:left w:val="single" w:sz="4" w:space="0" w:color="auto"/>
              <w:bottom w:val="single" w:sz="4" w:space="0" w:color="auto"/>
              <w:right w:val="single" w:sz="4" w:space="0" w:color="auto"/>
            </w:tcBorders>
            <w:hideMark/>
          </w:tcPr>
          <w:p w:rsidR="00286E8B" w:rsidRDefault="00286E8B">
            <w:pPr>
              <w:spacing w:after="120"/>
              <w:rPr>
                <w:rFonts w:ascii="Calibri" w:hAnsi="Calibri" w:cs="Calibri"/>
                <w:color w:val="000000" w:themeColor="text1"/>
                <w:sz w:val="22"/>
                <w:szCs w:val="22"/>
                <w:shd w:val="clear" w:color="auto" w:fill="FFFFFF"/>
              </w:rPr>
            </w:pPr>
            <w:r>
              <w:rPr>
                <w:rFonts w:ascii="Calibri" w:hAnsi="Calibri" w:cs="Calibri"/>
                <w:color w:val="000000" w:themeColor="text1"/>
                <w:sz w:val="22"/>
                <w:szCs w:val="22"/>
                <w:shd w:val="clear" w:color="auto" w:fill="FFFFFF"/>
              </w:rPr>
              <w:t xml:space="preserve">Zawarte w art. 5 definicje pojęć: „importera”, „udostępniania na rynku”, „upoważnionego przedstawiciela”, „wprowadzenia do obrotu”, „wycofania z obrotu” nie są zgodne z treścią dyrektywy nr 2019/882, która jest implementowana przepisami projektowanej ustawy. Definicje ww. pojęć zamieszczone w dyrektywie zawierają odesłanie do Unii Europejskiej, podczas gdy definicje projektowanej ustawy odsyłają do Rzeczypospolitej Polskiej.  </w:t>
            </w:r>
          </w:p>
        </w:tc>
        <w:tc>
          <w:tcPr>
            <w:tcW w:w="3544" w:type="dxa"/>
            <w:tcBorders>
              <w:top w:val="single" w:sz="4" w:space="0" w:color="auto"/>
              <w:left w:val="single" w:sz="4" w:space="0" w:color="auto"/>
              <w:bottom w:val="single" w:sz="4" w:space="0" w:color="auto"/>
              <w:right w:val="single" w:sz="4" w:space="0" w:color="auto"/>
            </w:tcBorders>
          </w:tcPr>
          <w:p w:rsidR="00286E8B" w:rsidRDefault="00286E8B">
            <w:pPr>
              <w:spacing w:after="120"/>
              <w:jc w:val="center"/>
              <w:rPr>
                <w:rFonts w:ascii="Calibri" w:hAnsi="Calibri" w:cs="Calibri"/>
                <w:sz w:val="22"/>
                <w:szCs w:val="22"/>
              </w:rPr>
            </w:pPr>
          </w:p>
        </w:tc>
        <w:tc>
          <w:tcPr>
            <w:tcW w:w="1417" w:type="dxa"/>
            <w:tcBorders>
              <w:top w:val="single" w:sz="4" w:space="0" w:color="auto"/>
              <w:left w:val="single" w:sz="4" w:space="0" w:color="auto"/>
              <w:bottom w:val="single" w:sz="4" w:space="0" w:color="auto"/>
              <w:right w:val="single" w:sz="4" w:space="0" w:color="auto"/>
            </w:tcBorders>
          </w:tcPr>
          <w:p w:rsidR="00286E8B" w:rsidRDefault="00286E8B">
            <w:pPr>
              <w:spacing w:after="120"/>
              <w:jc w:val="center"/>
              <w:rPr>
                <w:rFonts w:ascii="Calibri" w:hAnsi="Calibri" w:cs="Calibri"/>
                <w:sz w:val="22"/>
                <w:szCs w:val="22"/>
              </w:rPr>
            </w:pPr>
          </w:p>
        </w:tc>
      </w:tr>
      <w:tr w:rsidR="00286E8B" w:rsidTr="00286E8B">
        <w:tc>
          <w:tcPr>
            <w:tcW w:w="562" w:type="dxa"/>
            <w:tcBorders>
              <w:top w:val="single" w:sz="4" w:space="0" w:color="auto"/>
              <w:left w:val="single" w:sz="4" w:space="0" w:color="auto"/>
              <w:bottom w:val="single" w:sz="4" w:space="0" w:color="auto"/>
              <w:right w:val="single" w:sz="4" w:space="0" w:color="auto"/>
            </w:tcBorders>
            <w:hideMark/>
          </w:tcPr>
          <w:p w:rsidR="00286E8B" w:rsidRDefault="00286E8B">
            <w:pPr>
              <w:spacing w:after="120"/>
              <w:jc w:val="center"/>
              <w:rPr>
                <w:rFonts w:ascii="Calibri" w:hAnsi="Calibri" w:cs="Calibri"/>
                <w:b/>
                <w:sz w:val="22"/>
                <w:szCs w:val="22"/>
              </w:rPr>
            </w:pPr>
            <w:r>
              <w:rPr>
                <w:rFonts w:ascii="Calibri" w:hAnsi="Calibri" w:cs="Calibri"/>
                <w:b/>
                <w:sz w:val="22"/>
                <w:szCs w:val="22"/>
              </w:rPr>
              <w:t>3</w:t>
            </w:r>
          </w:p>
        </w:tc>
        <w:tc>
          <w:tcPr>
            <w:tcW w:w="1134" w:type="dxa"/>
            <w:tcBorders>
              <w:top w:val="single" w:sz="4" w:space="0" w:color="auto"/>
              <w:left w:val="single" w:sz="4" w:space="0" w:color="auto"/>
              <w:bottom w:val="single" w:sz="4" w:space="0" w:color="auto"/>
              <w:right w:val="single" w:sz="4" w:space="0" w:color="auto"/>
            </w:tcBorders>
            <w:hideMark/>
          </w:tcPr>
          <w:p w:rsidR="00286E8B" w:rsidRDefault="00286E8B">
            <w:pPr>
              <w:spacing w:after="120"/>
              <w:jc w:val="center"/>
              <w:rPr>
                <w:rFonts w:ascii="Calibri" w:hAnsi="Calibri" w:cs="Calibri"/>
                <w:color w:val="000000" w:themeColor="text1"/>
                <w:sz w:val="22"/>
                <w:szCs w:val="22"/>
              </w:rPr>
            </w:pPr>
            <w:r>
              <w:rPr>
                <w:rFonts w:ascii="Calibri" w:hAnsi="Calibri" w:cs="Calibri"/>
                <w:color w:val="000000" w:themeColor="text1"/>
                <w:sz w:val="22"/>
                <w:szCs w:val="22"/>
              </w:rPr>
              <w:t>MC</w:t>
            </w:r>
          </w:p>
        </w:tc>
        <w:tc>
          <w:tcPr>
            <w:tcW w:w="1985" w:type="dxa"/>
            <w:tcBorders>
              <w:top w:val="single" w:sz="4" w:space="0" w:color="auto"/>
              <w:left w:val="single" w:sz="4" w:space="0" w:color="auto"/>
              <w:bottom w:val="single" w:sz="4" w:space="0" w:color="auto"/>
              <w:right w:val="single" w:sz="4" w:space="0" w:color="auto"/>
            </w:tcBorders>
            <w:hideMark/>
          </w:tcPr>
          <w:p w:rsidR="00286E8B" w:rsidRDefault="00286E8B">
            <w:pPr>
              <w:spacing w:after="120"/>
              <w:jc w:val="center"/>
              <w:rPr>
                <w:rFonts w:ascii="Calibri" w:hAnsi="Calibri" w:cs="Calibri"/>
                <w:sz w:val="22"/>
                <w:szCs w:val="22"/>
              </w:rPr>
            </w:pPr>
            <w:r>
              <w:rPr>
                <w:rFonts w:ascii="Calibri" w:hAnsi="Calibri" w:cs="Calibri"/>
                <w:color w:val="000000" w:themeColor="text1"/>
                <w:sz w:val="22"/>
                <w:szCs w:val="22"/>
              </w:rPr>
              <w:t xml:space="preserve">Art. 34 ust.1 pkt 1 oraz art. </w:t>
            </w:r>
            <w:r>
              <w:rPr>
                <w:rFonts w:ascii="Calibri" w:hAnsi="Calibri" w:cs="Calibri"/>
                <w:color w:val="000000" w:themeColor="text1"/>
                <w:sz w:val="22"/>
                <w:szCs w:val="22"/>
                <w:shd w:val="clear" w:color="auto" w:fill="FFFFFF"/>
              </w:rPr>
              <w:t>61 ust. 2 pkt 1</w:t>
            </w:r>
          </w:p>
        </w:tc>
        <w:tc>
          <w:tcPr>
            <w:tcW w:w="6804" w:type="dxa"/>
            <w:tcBorders>
              <w:top w:val="single" w:sz="4" w:space="0" w:color="auto"/>
              <w:left w:val="single" w:sz="4" w:space="0" w:color="auto"/>
              <w:bottom w:val="single" w:sz="4" w:space="0" w:color="auto"/>
              <w:right w:val="single" w:sz="4" w:space="0" w:color="auto"/>
            </w:tcBorders>
            <w:hideMark/>
          </w:tcPr>
          <w:p w:rsidR="00286E8B" w:rsidRDefault="00286E8B">
            <w:pPr>
              <w:spacing w:after="120"/>
              <w:rPr>
                <w:rFonts w:ascii="Calibri" w:hAnsi="Calibri" w:cs="Calibri"/>
                <w:sz w:val="22"/>
                <w:szCs w:val="22"/>
              </w:rPr>
            </w:pPr>
            <w:r>
              <w:rPr>
                <w:rFonts w:ascii="Calibri" w:hAnsi="Calibri" w:cs="Calibri"/>
                <w:color w:val="000000" w:themeColor="text1"/>
                <w:sz w:val="22"/>
                <w:szCs w:val="22"/>
              </w:rPr>
              <w:t xml:space="preserve">Pojęcie dane kontaktowe jest pojęciem niezdefiniowanym w tej ustawie, w związku z tym nie wiadomo jakie konkretnie dane osobowe w ramach tych danych mogą być przetwarzane. Należy jednoznacznie i jasno określić zamknięty katalog danych osobowych skarżącego jakie projektodawca ma na myśli, które są uzasadnione i konieczne dla sprawnego załatwienia skargi. Zgodnie z art. 5 ust. 1 lit. a-c RODO należy wskazać, że </w:t>
            </w:r>
            <w:r>
              <w:rPr>
                <w:rFonts w:ascii="Calibri" w:hAnsi="Calibri" w:cs="Calibri"/>
                <w:color w:val="000000" w:themeColor="text1"/>
                <w:sz w:val="22"/>
                <w:szCs w:val="22"/>
                <w:shd w:val="clear" w:color="auto" w:fill="FFFFFF"/>
              </w:rPr>
              <w:t xml:space="preserve">przetwarzanie danych osobowych powinno być zgodne z prawem i rzetelne. Dla osób fizycznych powinno być przejrzyste jakie dotyczące ich dane osobowe mogą być przetwarzane. Dane osobowe powinny być adekwatne, stosowne i ograniczone do tego, co niezbędne do celów, dla których są one przetwarzane. Wymaga to w szczególności zapewnienia ograniczenia zakresu przetwarzanych danych do ścisłego </w:t>
            </w:r>
            <w:r>
              <w:rPr>
                <w:rFonts w:ascii="Calibri" w:hAnsi="Calibri" w:cs="Calibri"/>
                <w:color w:val="000000" w:themeColor="text1"/>
                <w:sz w:val="22"/>
                <w:szCs w:val="22"/>
                <w:shd w:val="clear" w:color="auto" w:fill="FFFFFF"/>
              </w:rPr>
              <w:lastRenderedPageBreak/>
              <w:t>minimum. Dane osobowe powinny być przetwarzane tylko w przypadkach, gdy celu przetwarzania nie można w rozsądny sposób osiągnąć innymi sposobami. Wobec tego w art. 34 ust. 1 pkt 1 należy przejrzyście wskazać zamknięty katalog danych „kontaktowych”, tj.: imię i nazwisko, adres do korespondencji lub adres e-mail lub nr telefonu w zależności od wskazanego przez skarżącego preferowanego sposobu kontaktu, o którym mowa w art. 34 ust. 1 pkt 4.</w:t>
            </w:r>
          </w:p>
        </w:tc>
        <w:tc>
          <w:tcPr>
            <w:tcW w:w="3544" w:type="dxa"/>
            <w:tcBorders>
              <w:top w:val="single" w:sz="4" w:space="0" w:color="auto"/>
              <w:left w:val="single" w:sz="4" w:space="0" w:color="auto"/>
              <w:bottom w:val="single" w:sz="4" w:space="0" w:color="auto"/>
              <w:right w:val="single" w:sz="4" w:space="0" w:color="auto"/>
            </w:tcBorders>
          </w:tcPr>
          <w:p w:rsidR="00286E8B" w:rsidRDefault="00286E8B">
            <w:pPr>
              <w:spacing w:after="120"/>
              <w:jc w:val="center"/>
              <w:rPr>
                <w:rFonts w:ascii="Calibri" w:hAnsi="Calibri" w:cs="Calibri"/>
                <w:sz w:val="22"/>
                <w:szCs w:val="22"/>
              </w:rPr>
            </w:pPr>
          </w:p>
        </w:tc>
        <w:tc>
          <w:tcPr>
            <w:tcW w:w="1417" w:type="dxa"/>
            <w:tcBorders>
              <w:top w:val="single" w:sz="4" w:space="0" w:color="auto"/>
              <w:left w:val="single" w:sz="4" w:space="0" w:color="auto"/>
              <w:bottom w:val="single" w:sz="4" w:space="0" w:color="auto"/>
              <w:right w:val="single" w:sz="4" w:space="0" w:color="auto"/>
            </w:tcBorders>
          </w:tcPr>
          <w:p w:rsidR="00286E8B" w:rsidRDefault="00286E8B">
            <w:pPr>
              <w:spacing w:after="120"/>
              <w:jc w:val="center"/>
              <w:rPr>
                <w:rFonts w:ascii="Calibri" w:hAnsi="Calibri" w:cs="Calibri"/>
                <w:sz w:val="22"/>
                <w:szCs w:val="22"/>
              </w:rPr>
            </w:pPr>
          </w:p>
        </w:tc>
      </w:tr>
      <w:tr w:rsidR="00286E8B" w:rsidTr="00286E8B">
        <w:tc>
          <w:tcPr>
            <w:tcW w:w="562" w:type="dxa"/>
            <w:tcBorders>
              <w:top w:val="single" w:sz="4" w:space="0" w:color="auto"/>
              <w:left w:val="single" w:sz="4" w:space="0" w:color="auto"/>
              <w:bottom w:val="single" w:sz="4" w:space="0" w:color="auto"/>
              <w:right w:val="single" w:sz="4" w:space="0" w:color="auto"/>
            </w:tcBorders>
            <w:hideMark/>
          </w:tcPr>
          <w:p w:rsidR="00286E8B" w:rsidRDefault="00286E8B">
            <w:pPr>
              <w:spacing w:after="120"/>
              <w:jc w:val="center"/>
              <w:rPr>
                <w:rFonts w:ascii="Calibri" w:hAnsi="Calibri" w:cs="Calibri"/>
                <w:b/>
                <w:sz w:val="22"/>
                <w:szCs w:val="22"/>
              </w:rPr>
            </w:pPr>
            <w:r>
              <w:rPr>
                <w:rFonts w:ascii="Calibri" w:hAnsi="Calibri" w:cs="Calibri"/>
                <w:b/>
                <w:sz w:val="22"/>
                <w:szCs w:val="22"/>
              </w:rPr>
              <w:t>4</w:t>
            </w:r>
          </w:p>
        </w:tc>
        <w:tc>
          <w:tcPr>
            <w:tcW w:w="1134" w:type="dxa"/>
            <w:tcBorders>
              <w:top w:val="single" w:sz="4" w:space="0" w:color="auto"/>
              <w:left w:val="single" w:sz="4" w:space="0" w:color="auto"/>
              <w:bottom w:val="single" w:sz="4" w:space="0" w:color="auto"/>
              <w:right w:val="single" w:sz="4" w:space="0" w:color="auto"/>
            </w:tcBorders>
            <w:hideMark/>
          </w:tcPr>
          <w:p w:rsidR="00286E8B" w:rsidRDefault="00286E8B">
            <w:pPr>
              <w:spacing w:after="120"/>
              <w:jc w:val="center"/>
              <w:rPr>
                <w:rFonts w:ascii="Calibri" w:hAnsi="Calibri" w:cs="Calibri"/>
                <w:sz w:val="22"/>
                <w:szCs w:val="22"/>
              </w:rPr>
            </w:pPr>
            <w:r>
              <w:rPr>
                <w:rFonts w:ascii="Calibri" w:hAnsi="Calibri" w:cs="Calibri"/>
                <w:sz w:val="22"/>
                <w:szCs w:val="22"/>
              </w:rPr>
              <w:t>MC</w:t>
            </w:r>
          </w:p>
        </w:tc>
        <w:tc>
          <w:tcPr>
            <w:tcW w:w="1985" w:type="dxa"/>
            <w:tcBorders>
              <w:top w:val="single" w:sz="4" w:space="0" w:color="auto"/>
              <w:left w:val="single" w:sz="4" w:space="0" w:color="auto"/>
              <w:bottom w:val="single" w:sz="4" w:space="0" w:color="auto"/>
              <w:right w:val="single" w:sz="4" w:space="0" w:color="auto"/>
            </w:tcBorders>
            <w:hideMark/>
          </w:tcPr>
          <w:p w:rsidR="00286E8B" w:rsidRDefault="00286E8B">
            <w:pPr>
              <w:spacing w:after="120"/>
              <w:jc w:val="center"/>
              <w:rPr>
                <w:rFonts w:ascii="Calibri" w:hAnsi="Calibri" w:cs="Calibri"/>
                <w:sz w:val="22"/>
                <w:szCs w:val="22"/>
              </w:rPr>
            </w:pPr>
            <w:r>
              <w:rPr>
                <w:rFonts w:ascii="Calibri" w:hAnsi="Calibri" w:cs="Calibri"/>
                <w:sz w:val="22"/>
                <w:szCs w:val="22"/>
              </w:rPr>
              <w:t>Art. 61 ust. 2 pkt 1</w:t>
            </w:r>
          </w:p>
        </w:tc>
        <w:tc>
          <w:tcPr>
            <w:tcW w:w="6804" w:type="dxa"/>
            <w:tcBorders>
              <w:top w:val="single" w:sz="4" w:space="0" w:color="auto"/>
              <w:left w:val="single" w:sz="4" w:space="0" w:color="auto"/>
              <w:bottom w:val="single" w:sz="4" w:space="0" w:color="auto"/>
              <w:right w:val="single" w:sz="4" w:space="0" w:color="auto"/>
            </w:tcBorders>
            <w:hideMark/>
          </w:tcPr>
          <w:p w:rsidR="00286E8B" w:rsidRDefault="00286E8B">
            <w:pPr>
              <w:spacing w:after="120"/>
              <w:rPr>
                <w:rFonts w:ascii="Calibri" w:hAnsi="Calibri" w:cs="Calibri"/>
                <w:sz w:val="22"/>
                <w:szCs w:val="22"/>
              </w:rPr>
            </w:pPr>
            <w:r>
              <w:rPr>
                <w:rFonts w:ascii="Calibri" w:hAnsi="Calibri" w:cs="Calibri"/>
                <w:color w:val="000000" w:themeColor="text1"/>
                <w:sz w:val="22"/>
                <w:szCs w:val="22"/>
                <w:shd w:val="clear" w:color="auto" w:fill="FFFFFF"/>
              </w:rPr>
              <w:t>Argumentacja tożsama z wskazaną w uwadze nr 3.</w:t>
            </w:r>
          </w:p>
        </w:tc>
        <w:tc>
          <w:tcPr>
            <w:tcW w:w="3544" w:type="dxa"/>
            <w:tcBorders>
              <w:top w:val="single" w:sz="4" w:space="0" w:color="auto"/>
              <w:left w:val="single" w:sz="4" w:space="0" w:color="auto"/>
              <w:bottom w:val="single" w:sz="4" w:space="0" w:color="auto"/>
              <w:right w:val="single" w:sz="4" w:space="0" w:color="auto"/>
            </w:tcBorders>
          </w:tcPr>
          <w:p w:rsidR="00286E8B" w:rsidRDefault="00286E8B">
            <w:pPr>
              <w:spacing w:after="120"/>
              <w:rPr>
                <w:rFonts w:ascii="Calibri" w:hAnsi="Calibri" w:cs="Calibri"/>
                <w:sz w:val="22"/>
                <w:szCs w:val="22"/>
              </w:rPr>
            </w:pPr>
          </w:p>
        </w:tc>
        <w:tc>
          <w:tcPr>
            <w:tcW w:w="1417" w:type="dxa"/>
            <w:tcBorders>
              <w:top w:val="single" w:sz="4" w:space="0" w:color="auto"/>
              <w:left w:val="single" w:sz="4" w:space="0" w:color="auto"/>
              <w:bottom w:val="single" w:sz="4" w:space="0" w:color="auto"/>
              <w:right w:val="single" w:sz="4" w:space="0" w:color="auto"/>
            </w:tcBorders>
          </w:tcPr>
          <w:p w:rsidR="00286E8B" w:rsidRDefault="00286E8B">
            <w:pPr>
              <w:spacing w:after="120"/>
              <w:jc w:val="center"/>
              <w:rPr>
                <w:rFonts w:ascii="Calibri" w:hAnsi="Calibri" w:cs="Calibri"/>
                <w:sz w:val="22"/>
                <w:szCs w:val="22"/>
              </w:rPr>
            </w:pPr>
          </w:p>
        </w:tc>
      </w:tr>
      <w:tr w:rsidR="00286E8B" w:rsidTr="00286E8B">
        <w:tc>
          <w:tcPr>
            <w:tcW w:w="562" w:type="dxa"/>
            <w:tcBorders>
              <w:top w:val="single" w:sz="4" w:space="0" w:color="auto"/>
              <w:left w:val="single" w:sz="4" w:space="0" w:color="auto"/>
              <w:bottom w:val="single" w:sz="4" w:space="0" w:color="auto"/>
              <w:right w:val="single" w:sz="4" w:space="0" w:color="auto"/>
            </w:tcBorders>
            <w:hideMark/>
          </w:tcPr>
          <w:p w:rsidR="00286E8B" w:rsidRDefault="00286E8B">
            <w:pPr>
              <w:spacing w:after="120"/>
              <w:jc w:val="center"/>
              <w:rPr>
                <w:rFonts w:ascii="Calibri" w:hAnsi="Calibri" w:cs="Calibri"/>
                <w:b/>
                <w:sz w:val="22"/>
                <w:szCs w:val="22"/>
              </w:rPr>
            </w:pPr>
            <w:r>
              <w:rPr>
                <w:rFonts w:ascii="Calibri" w:hAnsi="Calibri" w:cs="Calibri"/>
                <w:b/>
                <w:sz w:val="22"/>
                <w:szCs w:val="22"/>
              </w:rPr>
              <w:t>5</w:t>
            </w:r>
          </w:p>
        </w:tc>
        <w:tc>
          <w:tcPr>
            <w:tcW w:w="1134" w:type="dxa"/>
            <w:tcBorders>
              <w:top w:val="single" w:sz="4" w:space="0" w:color="auto"/>
              <w:left w:val="single" w:sz="4" w:space="0" w:color="auto"/>
              <w:bottom w:val="single" w:sz="4" w:space="0" w:color="auto"/>
              <w:right w:val="single" w:sz="4" w:space="0" w:color="auto"/>
            </w:tcBorders>
            <w:hideMark/>
          </w:tcPr>
          <w:p w:rsidR="00286E8B" w:rsidRDefault="00286E8B">
            <w:pPr>
              <w:spacing w:after="120"/>
              <w:jc w:val="center"/>
              <w:rPr>
                <w:rFonts w:ascii="Calibri" w:hAnsi="Calibri" w:cs="Calibri"/>
                <w:sz w:val="22"/>
                <w:szCs w:val="22"/>
              </w:rPr>
            </w:pPr>
            <w:r>
              <w:rPr>
                <w:rFonts w:ascii="Calibri" w:hAnsi="Calibri" w:cs="Calibri"/>
                <w:sz w:val="22"/>
                <w:szCs w:val="22"/>
              </w:rPr>
              <w:t>MC</w:t>
            </w:r>
          </w:p>
        </w:tc>
        <w:tc>
          <w:tcPr>
            <w:tcW w:w="1985" w:type="dxa"/>
            <w:tcBorders>
              <w:top w:val="single" w:sz="4" w:space="0" w:color="auto"/>
              <w:left w:val="single" w:sz="4" w:space="0" w:color="auto"/>
              <w:bottom w:val="single" w:sz="4" w:space="0" w:color="auto"/>
              <w:right w:val="single" w:sz="4" w:space="0" w:color="auto"/>
            </w:tcBorders>
            <w:hideMark/>
          </w:tcPr>
          <w:p w:rsidR="00286E8B" w:rsidRDefault="00286E8B">
            <w:pPr>
              <w:spacing w:after="120"/>
              <w:jc w:val="center"/>
              <w:rPr>
                <w:rFonts w:ascii="Calibri" w:hAnsi="Calibri" w:cs="Calibri"/>
                <w:sz w:val="22"/>
                <w:szCs w:val="22"/>
              </w:rPr>
            </w:pPr>
            <w:r>
              <w:rPr>
                <w:rFonts w:ascii="Calibri" w:hAnsi="Calibri" w:cs="Calibri"/>
                <w:sz w:val="22"/>
                <w:szCs w:val="22"/>
              </w:rPr>
              <w:t>Art. 36 ust. 3 pkt 2</w:t>
            </w:r>
          </w:p>
        </w:tc>
        <w:tc>
          <w:tcPr>
            <w:tcW w:w="6804" w:type="dxa"/>
            <w:tcBorders>
              <w:top w:val="single" w:sz="4" w:space="0" w:color="auto"/>
              <w:left w:val="single" w:sz="4" w:space="0" w:color="auto"/>
              <w:bottom w:val="single" w:sz="4" w:space="0" w:color="auto"/>
              <w:right w:val="single" w:sz="4" w:space="0" w:color="auto"/>
            </w:tcBorders>
            <w:hideMark/>
          </w:tcPr>
          <w:p w:rsidR="00286E8B" w:rsidRDefault="00286E8B">
            <w:pPr>
              <w:spacing w:after="120"/>
              <w:rPr>
                <w:rFonts w:ascii="Calibri" w:hAnsi="Calibri" w:cs="Calibri"/>
                <w:sz w:val="22"/>
                <w:szCs w:val="22"/>
              </w:rPr>
            </w:pPr>
            <w:r>
              <w:rPr>
                <w:rFonts w:ascii="Calibri" w:hAnsi="Calibri" w:cs="Calibri"/>
                <w:sz w:val="22"/>
                <w:szCs w:val="22"/>
              </w:rPr>
              <w:t xml:space="preserve">Konieczne jest precyzyjne rozgraniczenie kompetencji pomiędzy UKE i </w:t>
            </w:r>
            <w:proofErr w:type="spellStart"/>
            <w:r>
              <w:rPr>
                <w:rFonts w:ascii="Calibri" w:hAnsi="Calibri" w:cs="Calibri"/>
                <w:sz w:val="22"/>
                <w:szCs w:val="22"/>
              </w:rPr>
              <w:t>KRRiTV</w:t>
            </w:r>
            <w:proofErr w:type="spellEnd"/>
            <w:r>
              <w:rPr>
                <w:rFonts w:ascii="Calibri" w:hAnsi="Calibri" w:cs="Calibri"/>
                <w:sz w:val="22"/>
                <w:szCs w:val="22"/>
              </w:rPr>
              <w:t xml:space="preserve">. Obecny przepis art. 36 ust. 3 pkt 2 projektu powoduje bowiem wątpliwości co do rozgraniczenia pomiędzy Prezesem UKE a </w:t>
            </w:r>
            <w:proofErr w:type="spellStart"/>
            <w:r>
              <w:rPr>
                <w:rFonts w:ascii="Calibri" w:hAnsi="Calibri" w:cs="Calibri"/>
                <w:sz w:val="22"/>
                <w:szCs w:val="22"/>
              </w:rPr>
              <w:t>KRRiTV</w:t>
            </w:r>
            <w:proofErr w:type="spellEnd"/>
            <w:r>
              <w:rPr>
                <w:rFonts w:ascii="Calibri" w:hAnsi="Calibri" w:cs="Calibri"/>
                <w:sz w:val="22"/>
                <w:szCs w:val="22"/>
              </w:rPr>
              <w:t xml:space="preserve"> kompetencji dotyczących zapewniania spełniania wymogów dostępności usług dostępu do audiowizualnych usług medialnych.</w:t>
            </w:r>
          </w:p>
        </w:tc>
        <w:tc>
          <w:tcPr>
            <w:tcW w:w="3544" w:type="dxa"/>
            <w:tcBorders>
              <w:top w:val="single" w:sz="4" w:space="0" w:color="auto"/>
              <w:left w:val="single" w:sz="4" w:space="0" w:color="auto"/>
              <w:bottom w:val="single" w:sz="4" w:space="0" w:color="auto"/>
              <w:right w:val="single" w:sz="4" w:space="0" w:color="auto"/>
            </w:tcBorders>
          </w:tcPr>
          <w:p w:rsidR="00286E8B" w:rsidRDefault="00286E8B">
            <w:pPr>
              <w:spacing w:after="120"/>
              <w:rPr>
                <w:rFonts w:ascii="Calibri" w:hAnsi="Calibri" w:cs="Calibri"/>
                <w:sz w:val="22"/>
                <w:szCs w:val="22"/>
              </w:rPr>
            </w:pPr>
          </w:p>
        </w:tc>
        <w:tc>
          <w:tcPr>
            <w:tcW w:w="1417" w:type="dxa"/>
            <w:tcBorders>
              <w:top w:val="single" w:sz="4" w:space="0" w:color="auto"/>
              <w:left w:val="single" w:sz="4" w:space="0" w:color="auto"/>
              <w:bottom w:val="single" w:sz="4" w:space="0" w:color="auto"/>
              <w:right w:val="single" w:sz="4" w:space="0" w:color="auto"/>
            </w:tcBorders>
          </w:tcPr>
          <w:p w:rsidR="00286E8B" w:rsidRDefault="00286E8B">
            <w:pPr>
              <w:spacing w:after="120"/>
              <w:jc w:val="center"/>
              <w:rPr>
                <w:rFonts w:ascii="Calibri" w:hAnsi="Calibri" w:cs="Calibri"/>
                <w:sz w:val="22"/>
                <w:szCs w:val="22"/>
              </w:rPr>
            </w:pPr>
          </w:p>
        </w:tc>
      </w:tr>
      <w:tr w:rsidR="00286E8B" w:rsidTr="00286E8B">
        <w:trPr>
          <w:trHeight w:val="1691"/>
        </w:trPr>
        <w:tc>
          <w:tcPr>
            <w:tcW w:w="562" w:type="dxa"/>
            <w:tcBorders>
              <w:top w:val="single" w:sz="4" w:space="0" w:color="auto"/>
              <w:left w:val="single" w:sz="4" w:space="0" w:color="auto"/>
              <w:bottom w:val="single" w:sz="4" w:space="0" w:color="auto"/>
              <w:right w:val="single" w:sz="4" w:space="0" w:color="auto"/>
            </w:tcBorders>
            <w:hideMark/>
          </w:tcPr>
          <w:p w:rsidR="00286E8B" w:rsidRDefault="00286E8B">
            <w:pPr>
              <w:spacing w:after="120"/>
              <w:jc w:val="center"/>
              <w:rPr>
                <w:rFonts w:ascii="Calibri" w:hAnsi="Calibri" w:cs="Calibri"/>
                <w:b/>
                <w:sz w:val="22"/>
                <w:szCs w:val="22"/>
              </w:rPr>
            </w:pPr>
            <w:r>
              <w:rPr>
                <w:rFonts w:ascii="Calibri" w:hAnsi="Calibri" w:cs="Calibri"/>
                <w:b/>
                <w:sz w:val="22"/>
                <w:szCs w:val="22"/>
              </w:rPr>
              <w:t>6</w:t>
            </w:r>
          </w:p>
        </w:tc>
        <w:tc>
          <w:tcPr>
            <w:tcW w:w="1134" w:type="dxa"/>
            <w:tcBorders>
              <w:top w:val="single" w:sz="4" w:space="0" w:color="auto"/>
              <w:left w:val="single" w:sz="4" w:space="0" w:color="auto"/>
              <w:bottom w:val="single" w:sz="4" w:space="0" w:color="auto"/>
              <w:right w:val="single" w:sz="4" w:space="0" w:color="auto"/>
            </w:tcBorders>
            <w:hideMark/>
          </w:tcPr>
          <w:p w:rsidR="00286E8B" w:rsidRDefault="00286E8B">
            <w:pPr>
              <w:spacing w:after="120"/>
              <w:jc w:val="center"/>
              <w:rPr>
                <w:rFonts w:ascii="Calibri" w:hAnsi="Calibri" w:cs="Calibri"/>
                <w:sz w:val="22"/>
                <w:szCs w:val="22"/>
              </w:rPr>
            </w:pPr>
            <w:r>
              <w:rPr>
                <w:rFonts w:ascii="Calibri" w:hAnsi="Calibri" w:cs="Calibri"/>
                <w:sz w:val="22"/>
                <w:szCs w:val="22"/>
              </w:rPr>
              <w:t>MC</w:t>
            </w:r>
          </w:p>
        </w:tc>
        <w:tc>
          <w:tcPr>
            <w:tcW w:w="1985" w:type="dxa"/>
            <w:tcBorders>
              <w:top w:val="single" w:sz="4" w:space="0" w:color="auto"/>
              <w:left w:val="single" w:sz="4" w:space="0" w:color="auto"/>
              <w:bottom w:val="single" w:sz="4" w:space="0" w:color="auto"/>
              <w:right w:val="single" w:sz="4" w:space="0" w:color="auto"/>
            </w:tcBorders>
            <w:hideMark/>
          </w:tcPr>
          <w:p w:rsidR="00286E8B" w:rsidRDefault="00286E8B">
            <w:pPr>
              <w:spacing w:after="120"/>
              <w:jc w:val="center"/>
              <w:rPr>
                <w:rFonts w:ascii="Calibri" w:hAnsi="Calibri" w:cs="Calibri"/>
                <w:sz w:val="22"/>
                <w:szCs w:val="22"/>
              </w:rPr>
            </w:pPr>
            <w:r>
              <w:rPr>
                <w:rFonts w:ascii="Calibri" w:hAnsi="Calibri" w:cs="Calibri"/>
                <w:sz w:val="22"/>
                <w:szCs w:val="22"/>
              </w:rPr>
              <w:t>Art. 36 ust. 3 pkt 3</w:t>
            </w:r>
          </w:p>
        </w:tc>
        <w:tc>
          <w:tcPr>
            <w:tcW w:w="6804" w:type="dxa"/>
            <w:tcBorders>
              <w:top w:val="single" w:sz="4" w:space="0" w:color="auto"/>
              <w:left w:val="single" w:sz="4" w:space="0" w:color="auto"/>
              <w:bottom w:val="single" w:sz="4" w:space="0" w:color="auto"/>
              <w:right w:val="single" w:sz="4" w:space="0" w:color="auto"/>
            </w:tcBorders>
            <w:hideMark/>
          </w:tcPr>
          <w:p w:rsidR="00286E8B" w:rsidRDefault="00286E8B">
            <w:pPr>
              <w:spacing w:after="120"/>
              <w:rPr>
                <w:rFonts w:ascii="Calibri" w:hAnsi="Calibri" w:cs="Calibri"/>
                <w:sz w:val="22"/>
                <w:szCs w:val="22"/>
              </w:rPr>
            </w:pPr>
            <w:r>
              <w:rPr>
                <w:rFonts w:ascii="Calibri" w:hAnsi="Calibri" w:cs="Calibri"/>
                <w:sz w:val="22"/>
                <w:szCs w:val="22"/>
              </w:rPr>
              <w:t>Minister właściwy ds. informatyzacji nie jest organem nadzoru rynku, a jako taki został określony bezpośrednio w art. 36 ust. 3 pkt 3 projektu ustawy. Wskazanie roli organu nadzoru rynku dla ministra właściwego ds. informatyzacji wykracza poza ramy organów nadzoru rynku określone w art. 58 ustawy z dnia 13 kwietnia 2016 r. o systemach oceny zgodności i nadzoru rynku.</w:t>
            </w:r>
          </w:p>
          <w:p w:rsidR="00286E8B" w:rsidRDefault="00286E8B">
            <w:pPr>
              <w:autoSpaceDE w:val="0"/>
              <w:autoSpaceDN w:val="0"/>
              <w:adjustRightInd w:val="0"/>
              <w:spacing w:after="120"/>
              <w:rPr>
                <w:rFonts w:ascii="Calibri" w:hAnsi="Calibri" w:cs="Calibri"/>
                <w:sz w:val="22"/>
                <w:szCs w:val="22"/>
              </w:rPr>
            </w:pPr>
            <w:r>
              <w:rPr>
                <w:rFonts w:ascii="Calibri" w:hAnsi="Calibri" w:cs="Calibri"/>
                <w:sz w:val="22"/>
                <w:szCs w:val="22"/>
              </w:rPr>
              <w:t xml:space="preserve">Dodatkowo, obszar odpowiedzialności ministra właściwego ds. informatyzacji został określony w sposób bardzo ogólny (dostępność stron internetowych i aplikacji mobilnych wykorzystywanych przez usługodawców do oferowania i świadczenia usług oraz usług handlu elektronicznego). „Strony internetowe i aplikacje mobilne wykorzystywane przez usługodawców do oferowania i świadczenia usług” można interpretować jak wszystkie strony i aplikacji niezależnie od rodzaju oferowanych i świadczonych poprzez nie usług. Tymczasem w tym samym wyliczeniu pojawia się oddzielne wskazanie usług handlu elektronicznego. Jednocześnie w pozostałych punktach ust. 3 w art. 36 wskazywane są poszczególne usługi, wraz z usługami towarzyszącymi, które przypisane są do innych organów nadzoru rynku. Układ taki powoduje brak jasności co do zakresu stron internetowych i aplikacji mobilnych, za które odpowiada minister właściwy ds. informatyzacji. Problem ten jest kluczowy, w kontekście ustawy z dnia 4 kwietnia 2019 r. o dostępności cyfrowej stron internetowych i aplikacji mobilnych podmiotów publicznych (Dz. U. 2019 poz. 848) zgodnie z którą minister </w:t>
            </w:r>
            <w:r>
              <w:rPr>
                <w:rFonts w:ascii="Calibri" w:hAnsi="Calibri" w:cs="Calibri"/>
                <w:sz w:val="22"/>
                <w:szCs w:val="22"/>
              </w:rPr>
              <w:lastRenderedPageBreak/>
              <w:t xml:space="preserve">właściwy ds. informatyzacji monitoruje i nadzoruje dostępności cyfrową wyłącznie podmiotów publicznych określonych w art. 2. tejże ustawy. </w:t>
            </w:r>
          </w:p>
          <w:p w:rsidR="00286E8B" w:rsidRDefault="00286E8B">
            <w:pPr>
              <w:autoSpaceDE w:val="0"/>
              <w:autoSpaceDN w:val="0"/>
              <w:adjustRightInd w:val="0"/>
              <w:spacing w:after="120"/>
              <w:rPr>
                <w:rFonts w:ascii="Calibri" w:hAnsi="Calibri" w:cs="Calibri"/>
                <w:sz w:val="22"/>
                <w:szCs w:val="22"/>
              </w:rPr>
            </w:pPr>
            <w:r>
              <w:rPr>
                <w:rFonts w:ascii="Calibri" w:hAnsi="Calibri" w:cs="Calibri"/>
                <w:sz w:val="22"/>
                <w:szCs w:val="22"/>
              </w:rPr>
              <w:t>Handel elektroniczny, a tym samym usługi handlu elektronicznego pozostają poza właściwością ministra właściwego ds. informatyzacji, stąd nadzór nad dostępnością cyfrową tych usług powinien zostać przypisany do innego właściwego podmiotu.</w:t>
            </w:r>
          </w:p>
        </w:tc>
        <w:tc>
          <w:tcPr>
            <w:tcW w:w="3544" w:type="dxa"/>
            <w:tcBorders>
              <w:top w:val="single" w:sz="4" w:space="0" w:color="auto"/>
              <w:left w:val="single" w:sz="4" w:space="0" w:color="auto"/>
              <w:bottom w:val="single" w:sz="4" w:space="0" w:color="auto"/>
              <w:right w:val="single" w:sz="4" w:space="0" w:color="auto"/>
            </w:tcBorders>
            <w:hideMark/>
          </w:tcPr>
          <w:p w:rsidR="00286E8B" w:rsidRDefault="00286E8B">
            <w:pPr>
              <w:spacing w:after="120"/>
              <w:rPr>
                <w:rFonts w:ascii="Calibri" w:hAnsi="Calibri" w:cs="Calibri"/>
                <w:sz w:val="22"/>
                <w:szCs w:val="22"/>
              </w:rPr>
            </w:pPr>
            <w:r>
              <w:rPr>
                <w:rFonts w:ascii="Calibri" w:hAnsi="Calibri" w:cs="Calibri"/>
                <w:sz w:val="22"/>
                <w:szCs w:val="22"/>
              </w:rPr>
              <w:lastRenderedPageBreak/>
              <w:t>Rekomenduje się wydzielenie ministra właściwego ds. informatyzacji z listy organów nadzoru rynku i oddzielne wskazanie go wraz z przydzielonymi mu zadaniami w poszczególnych przepisach ustawy.</w:t>
            </w:r>
          </w:p>
          <w:p w:rsidR="00286E8B" w:rsidRDefault="00286E8B">
            <w:pPr>
              <w:spacing w:after="120"/>
              <w:rPr>
                <w:rFonts w:ascii="Calibri" w:hAnsi="Calibri" w:cs="Calibri"/>
                <w:sz w:val="22"/>
                <w:szCs w:val="22"/>
              </w:rPr>
            </w:pPr>
            <w:r>
              <w:rPr>
                <w:rFonts w:ascii="Calibri" w:hAnsi="Calibri" w:cs="Calibri"/>
                <w:sz w:val="22"/>
                <w:szCs w:val="22"/>
              </w:rPr>
              <w:t xml:space="preserve">Rekomenduje się dookreślenie zakresu usług świadczonych przez usługodawców, których dostępność stron internetowych i aplikacji mobilnych nadzoruje minister właściwy ds. informatyzacji. </w:t>
            </w:r>
          </w:p>
        </w:tc>
        <w:tc>
          <w:tcPr>
            <w:tcW w:w="1417" w:type="dxa"/>
            <w:tcBorders>
              <w:top w:val="single" w:sz="4" w:space="0" w:color="auto"/>
              <w:left w:val="single" w:sz="4" w:space="0" w:color="auto"/>
              <w:bottom w:val="single" w:sz="4" w:space="0" w:color="auto"/>
              <w:right w:val="single" w:sz="4" w:space="0" w:color="auto"/>
            </w:tcBorders>
          </w:tcPr>
          <w:p w:rsidR="00286E8B" w:rsidRDefault="00286E8B">
            <w:pPr>
              <w:spacing w:after="120"/>
              <w:jc w:val="center"/>
              <w:rPr>
                <w:rFonts w:ascii="Calibri" w:hAnsi="Calibri" w:cs="Calibri"/>
                <w:sz w:val="22"/>
                <w:szCs w:val="22"/>
              </w:rPr>
            </w:pPr>
          </w:p>
        </w:tc>
      </w:tr>
      <w:tr w:rsidR="00286E8B" w:rsidTr="00286E8B">
        <w:tc>
          <w:tcPr>
            <w:tcW w:w="562" w:type="dxa"/>
            <w:tcBorders>
              <w:top w:val="single" w:sz="4" w:space="0" w:color="auto"/>
              <w:left w:val="single" w:sz="4" w:space="0" w:color="auto"/>
              <w:bottom w:val="single" w:sz="4" w:space="0" w:color="auto"/>
              <w:right w:val="single" w:sz="4" w:space="0" w:color="auto"/>
            </w:tcBorders>
            <w:hideMark/>
          </w:tcPr>
          <w:p w:rsidR="00286E8B" w:rsidRDefault="00286E8B">
            <w:pPr>
              <w:spacing w:after="120"/>
              <w:jc w:val="center"/>
              <w:rPr>
                <w:rFonts w:ascii="Calibri" w:hAnsi="Calibri" w:cs="Calibri"/>
                <w:b/>
                <w:sz w:val="22"/>
                <w:szCs w:val="22"/>
              </w:rPr>
            </w:pPr>
            <w:r>
              <w:rPr>
                <w:rFonts w:ascii="Calibri" w:hAnsi="Calibri" w:cs="Calibri"/>
                <w:b/>
                <w:sz w:val="22"/>
                <w:szCs w:val="22"/>
              </w:rPr>
              <w:t>7</w:t>
            </w:r>
          </w:p>
        </w:tc>
        <w:tc>
          <w:tcPr>
            <w:tcW w:w="1134" w:type="dxa"/>
            <w:tcBorders>
              <w:top w:val="single" w:sz="4" w:space="0" w:color="auto"/>
              <w:left w:val="single" w:sz="4" w:space="0" w:color="auto"/>
              <w:bottom w:val="single" w:sz="4" w:space="0" w:color="auto"/>
              <w:right w:val="single" w:sz="4" w:space="0" w:color="auto"/>
            </w:tcBorders>
            <w:hideMark/>
          </w:tcPr>
          <w:p w:rsidR="00286E8B" w:rsidRDefault="00286E8B">
            <w:pPr>
              <w:spacing w:after="120"/>
              <w:jc w:val="center"/>
              <w:rPr>
                <w:rFonts w:ascii="Calibri" w:hAnsi="Calibri" w:cs="Calibri"/>
                <w:sz w:val="22"/>
                <w:szCs w:val="22"/>
              </w:rPr>
            </w:pPr>
            <w:r>
              <w:rPr>
                <w:rFonts w:ascii="Calibri" w:hAnsi="Calibri" w:cs="Calibri"/>
                <w:sz w:val="22"/>
                <w:szCs w:val="22"/>
              </w:rPr>
              <w:t>MC</w:t>
            </w:r>
          </w:p>
        </w:tc>
        <w:tc>
          <w:tcPr>
            <w:tcW w:w="1985" w:type="dxa"/>
            <w:tcBorders>
              <w:top w:val="single" w:sz="4" w:space="0" w:color="auto"/>
              <w:left w:val="single" w:sz="4" w:space="0" w:color="auto"/>
              <w:bottom w:val="single" w:sz="4" w:space="0" w:color="auto"/>
              <w:right w:val="single" w:sz="4" w:space="0" w:color="auto"/>
            </w:tcBorders>
            <w:hideMark/>
          </w:tcPr>
          <w:p w:rsidR="00286E8B" w:rsidRDefault="00286E8B">
            <w:pPr>
              <w:spacing w:after="120"/>
              <w:jc w:val="center"/>
              <w:rPr>
                <w:rFonts w:ascii="Calibri" w:hAnsi="Calibri" w:cs="Calibri"/>
                <w:sz w:val="22"/>
                <w:szCs w:val="22"/>
              </w:rPr>
            </w:pPr>
            <w:r>
              <w:rPr>
                <w:rFonts w:ascii="Calibri" w:hAnsi="Calibri" w:cs="Calibri"/>
                <w:sz w:val="22"/>
                <w:szCs w:val="22"/>
              </w:rPr>
              <w:t>Art. 6 pkt 4</w:t>
            </w:r>
          </w:p>
        </w:tc>
        <w:tc>
          <w:tcPr>
            <w:tcW w:w="6804" w:type="dxa"/>
            <w:tcBorders>
              <w:top w:val="single" w:sz="4" w:space="0" w:color="auto"/>
              <w:left w:val="single" w:sz="4" w:space="0" w:color="auto"/>
              <w:bottom w:val="single" w:sz="4" w:space="0" w:color="auto"/>
              <w:right w:val="single" w:sz="4" w:space="0" w:color="auto"/>
            </w:tcBorders>
            <w:hideMark/>
          </w:tcPr>
          <w:p w:rsidR="00286E8B" w:rsidRDefault="00286E8B">
            <w:pPr>
              <w:spacing w:after="120"/>
              <w:rPr>
                <w:rFonts w:ascii="Calibri" w:hAnsi="Calibri" w:cs="Calibri"/>
                <w:sz w:val="22"/>
                <w:szCs w:val="22"/>
              </w:rPr>
            </w:pPr>
            <w:r>
              <w:rPr>
                <w:rFonts w:ascii="Calibri" w:hAnsi="Calibri" w:cs="Calibri"/>
                <w:sz w:val="22"/>
                <w:szCs w:val="22"/>
              </w:rPr>
              <w:t>Brak oddzielnego wyliczenia dla ministra właściwego ds. informatyzacji, wśród podmiotów, z którymi współpracuje przy realizacji ustawy minister właściwy do spraw rozwoju regionalnego.</w:t>
            </w:r>
          </w:p>
        </w:tc>
        <w:tc>
          <w:tcPr>
            <w:tcW w:w="3544" w:type="dxa"/>
            <w:tcBorders>
              <w:top w:val="single" w:sz="4" w:space="0" w:color="auto"/>
              <w:left w:val="single" w:sz="4" w:space="0" w:color="auto"/>
              <w:bottom w:val="single" w:sz="4" w:space="0" w:color="auto"/>
              <w:right w:val="single" w:sz="4" w:space="0" w:color="auto"/>
            </w:tcBorders>
            <w:hideMark/>
          </w:tcPr>
          <w:p w:rsidR="00286E8B" w:rsidRDefault="00286E8B">
            <w:pPr>
              <w:spacing w:after="120"/>
              <w:rPr>
                <w:rFonts w:ascii="Calibri" w:hAnsi="Calibri" w:cs="Calibri"/>
                <w:sz w:val="22"/>
                <w:szCs w:val="22"/>
              </w:rPr>
            </w:pPr>
            <w:r>
              <w:rPr>
                <w:rFonts w:ascii="Calibri" w:hAnsi="Calibri" w:cs="Calibri"/>
                <w:sz w:val="22"/>
                <w:szCs w:val="22"/>
              </w:rPr>
              <w:t>Analogicznie jak w uwadze nr 6 rekomenduje się oddzielne wymienienie w przepisie ministra właściwego ds. informatyzacji.</w:t>
            </w:r>
          </w:p>
        </w:tc>
        <w:tc>
          <w:tcPr>
            <w:tcW w:w="1417" w:type="dxa"/>
            <w:tcBorders>
              <w:top w:val="single" w:sz="4" w:space="0" w:color="auto"/>
              <w:left w:val="single" w:sz="4" w:space="0" w:color="auto"/>
              <w:bottom w:val="single" w:sz="4" w:space="0" w:color="auto"/>
              <w:right w:val="single" w:sz="4" w:space="0" w:color="auto"/>
            </w:tcBorders>
          </w:tcPr>
          <w:p w:rsidR="00286E8B" w:rsidRDefault="00286E8B">
            <w:pPr>
              <w:spacing w:after="120"/>
              <w:jc w:val="center"/>
              <w:rPr>
                <w:rFonts w:ascii="Calibri" w:hAnsi="Calibri" w:cs="Calibri"/>
                <w:sz w:val="22"/>
                <w:szCs w:val="22"/>
              </w:rPr>
            </w:pPr>
          </w:p>
        </w:tc>
      </w:tr>
      <w:tr w:rsidR="00286E8B" w:rsidTr="00286E8B">
        <w:tc>
          <w:tcPr>
            <w:tcW w:w="562" w:type="dxa"/>
            <w:tcBorders>
              <w:top w:val="single" w:sz="4" w:space="0" w:color="auto"/>
              <w:left w:val="single" w:sz="4" w:space="0" w:color="auto"/>
              <w:bottom w:val="single" w:sz="4" w:space="0" w:color="auto"/>
              <w:right w:val="single" w:sz="4" w:space="0" w:color="auto"/>
            </w:tcBorders>
            <w:hideMark/>
          </w:tcPr>
          <w:p w:rsidR="00286E8B" w:rsidRDefault="00286E8B">
            <w:pPr>
              <w:spacing w:after="120"/>
              <w:jc w:val="center"/>
              <w:rPr>
                <w:rFonts w:ascii="Calibri" w:hAnsi="Calibri" w:cs="Calibri"/>
                <w:b/>
                <w:sz w:val="22"/>
                <w:szCs w:val="22"/>
              </w:rPr>
            </w:pPr>
            <w:r>
              <w:rPr>
                <w:rFonts w:ascii="Calibri" w:hAnsi="Calibri" w:cs="Calibri"/>
                <w:b/>
                <w:sz w:val="22"/>
                <w:szCs w:val="22"/>
              </w:rPr>
              <w:t>8</w:t>
            </w:r>
          </w:p>
        </w:tc>
        <w:tc>
          <w:tcPr>
            <w:tcW w:w="1134" w:type="dxa"/>
            <w:tcBorders>
              <w:top w:val="single" w:sz="4" w:space="0" w:color="auto"/>
              <w:left w:val="single" w:sz="4" w:space="0" w:color="auto"/>
              <w:bottom w:val="single" w:sz="4" w:space="0" w:color="auto"/>
              <w:right w:val="single" w:sz="4" w:space="0" w:color="auto"/>
            </w:tcBorders>
            <w:hideMark/>
          </w:tcPr>
          <w:p w:rsidR="00286E8B" w:rsidRDefault="00286E8B">
            <w:pPr>
              <w:spacing w:after="120"/>
              <w:jc w:val="center"/>
              <w:rPr>
                <w:rFonts w:ascii="Calibri" w:hAnsi="Calibri" w:cs="Calibri"/>
                <w:sz w:val="22"/>
                <w:szCs w:val="22"/>
              </w:rPr>
            </w:pPr>
            <w:r>
              <w:rPr>
                <w:rFonts w:ascii="Calibri" w:hAnsi="Calibri" w:cs="Calibri"/>
                <w:sz w:val="22"/>
                <w:szCs w:val="22"/>
              </w:rPr>
              <w:t>MC</w:t>
            </w:r>
          </w:p>
        </w:tc>
        <w:tc>
          <w:tcPr>
            <w:tcW w:w="1985" w:type="dxa"/>
            <w:tcBorders>
              <w:top w:val="single" w:sz="4" w:space="0" w:color="auto"/>
              <w:left w:val="single" w:sz="4" w:space="0" w:color="auto"/>
              <w:bottom w:val="single" w:sz="4" w:space="0" w:color="auto"/>
              <w:right w:val="single" w:sz="4" w:space="0" w:color="auto"/>
            </w:tcBorders>
            <w:hideMark/>
          </w:tcPr>
          <w:p w:rsidR="00286E8B" w:rsidRDefault="00286E8B">
            <w:pPr>
              <w:spacing w:after="120"/>
              <w:jc w:val="center"/>
              <w:rPr>
                <w:rFonts w:ascii="Calibri" w:hAnsi="Calibri" w:cs="Calibri"/>
                <w:sz w:val="22"/>
                <w:szCs w:val="22"/>
              </w:rPr>
            </w:pPr>
            <w:r>
              <w:rPr>
                <w:rFonts w:ascii="Calibri" w:hAnsi="Calibri" w:cs="Calibri"/>
                <w:sz w:val="22"/>
                <w:szCs w:val="22"/>
              </w:rPr>
              <w:t>Art. 81 pkt 3</w:t>
            </w:r>
          </w:p>
        </w:tc>
        <w:tc>
          <w:tcPr>
            <w:tcW w:w="6804" w:type="dxa"/>
            <w:tcBorders>
              <w:top w:val="single" w:sz="4" w:space="0" w:color="auto"/>
              <w:left w:val="single" w:sz="4" w:space="0" w:color="auto"/>
              <w:bottom w:val="single" w:sz="4" w:space="0" w:color="auto"/>
              <w:right w:val="single" w:sz="4" w:space="0" w:color="auto"/>
            </w:tcBorders>
            <w:hideMark/>
          </w:tcPr>
          <w:p w:rsidR="00286E8B" w:rsidRDefault="00286E8B">
            <w:pPr>
              <w:spacing w:after="120"/>
              <w:rPr>
                <w:rFonts w:ascii="Calibri" w:hAnsi="Calibri" w:cs="Calibri"/>
                <w:sz w:val="22"/>
                <w:szCs w:val="22"/>
              </w:rPr>
            </w:pPr>
            <w:r>
              <w:rPr>
                <w:rFonts w:ascii="Calibri" w:hAnsi="Calibri" w:cs="Calibri"/>
                <w:sz w:val="22"/>
                <w:szCs w:val="22"/>
              </w:rPr>
              <w:t xml:space="preserve">Art. 81 projektu ustawy wskazuje treści stron internetowych i aplikacji mobilnych, do których ustawa nie ma odniesienia, ale brzmienie pkt 3. wskazuje jakby wyłączenie odnosiło się do, nie treści, a całości stron internetowych i aplikacji mobilnych, które są zarchiwizowane lub zawierają wyłącznie  treści, które nie były aktualizowane ani edytowane po dniu 28 czerwca 2025 r. Wyłączanie całości zarchiwizowanych lub nie aktualizowanych stron internetowych i aplikacji mobilnych stoi w sprzeczności z przepisami ustawy z dnia 4 kwietnia 2019 r. o dostępności cyfrowej stron internetowych i aplikacji mobilnych podmiotów publicznych (Dz. U. 2019 poz. 848), która w art. 3 ust 2 wskazuje typy treści nieobjętych wymogami tej ustawy. </w:t>
            </w:r>
          </w:p>
        </w:tc>
        <w:tc>
          <w:tcPr>
            <w:tcW w:w="3544" w:type="dxa"/>
            <w:tcBorders>
              <w:top w:val="single" w:sz="4" w:space="0" w:color="auto"/>
              <w:left w:val="single" w:sz="4" w:space="0" w:color="auto"/>
              <w:bottom w:val="single" w:sz="4" w:space="0" w:color="auto"/>
              <w:right w:val="single" w:sz="4" w:space="0" w:color="auto"/>
            </w:tcBorders>
            <w:hideMark/>
          </w:tcPr>
          <w:p w:rsidR="00286E8B" w:rsidRDefault="00286E8B">
            <w:pPr>
              <w:spacing w:after="120"/>
              <w:rPr>
                <w:rFonts w:ascii="Calibri" w:hAnsi="Calibri" w:cs="Calibri"/>
                <w:sz w:val="22"/>
                <w:szCs w:val="22"/>
              </w:rPr>
            </w:pPr>
            <w:r>
              <w:rPr>
                <w:rFonts w:ascii="Calibri" w:hAnsi="Calibri" w:cs="Calibri"/>
                <w:sz w:val="22"/>
                <w:szCs w:val="22"/>
              </w:rPr>
              <w:t>Rekomenduje się nadanie art. 81 pkt 3 brzmienia: „3) zarchiwizowanych oraz nieaktualizowanych i nieedytowanych po dniu 28 czerwca 2025 r.”</w:t>
            </w:r>
          </w:p>
        </w:tc>
        <w:tc>
          <w:tcPr>
            <w:tcW w:w="1417" w:type="dxa"/>
            <w:tcBorders>
              <w:top w:val="single" w:sz="4" w:space="0" w:color="auto"/>
              <w:left w:val="single" w:sz="4" w:space="0" w:color="auto"/>
              <w:bottom w:val="single" w:sz="4" w:space="0" w:color="auto"/>
              <w:right w:val="single" w:sz="4" w:space="0" w:color="auto"/>
            </w:tcBorders>
          </w:tcPr>
          <w:p w:rsidR="00286E8B" w:rsidRDefault="00286E8B">
            <w:pPr>
              <w:spacing w:after="120"/>
              <w:jc w:val="center"/>
              <w:rPr>
                <w:rFonts w:ascii="Calibri" w:hAnsi="Calibri" w:cs="Calibri"/>
                <w:sz w:val="22"/>
                <w:szCs w:val="22"/>
              </w:rPr>
            </w:pPr>
          </w:p>
        </w:tc>
      </w:tr>
      <w:tr w:rsidR="00286E8B" w:rsidTr="00286E8B">
        <w:tc>
          <w:tcPr>
            <w:tcW w:w="562" w:type="dxa"/>
            <w:tcBorders>
              <w:top w:val="single" w:sz="4" w:space="0" w:color="auto"/>
              <w:left w:val="single" w:sz="4" w:space="0" w:color="auto"/>
              <w:bottom w:val="single" w:sz="4" w:space="0" w:color="auto"/>
              <w:right w:val="single" w:sz="4" w:space="0" w:color="auto"/>
            </w:tcBorders>
            <w:hideMark/>
          </w:tcPr>
          <w:p w:rsidR="00286E8B" w:rsidRDefault="00286E8B">
            <w:pPr>
              <w:spacing w:after="120"/>
              <w:jc w:val="center"/>
              <w:rPr>
                <w:rFonts w:ascii="Calibri" w:hAnsi="Calibri" w:cs="Calibri"/>
                <w:b/>
                <w:sz w:val="22"/>
                <w:szCs w:val="22"/>
              </w:rPr>
            </w:pPr>
            <w:r>
              <w:rPr>
                <w:rFonts w:ascii="Calibri" w:hAnsi="Calibri" w:cs="Calibri"/>
                <w:b/>
                <w:sz w:val="22"/>
                <w:szCs w:val="22"/>
              </w:rPr>
              <w:t>9</w:t>
            </w:r>
          </w:p>
        </w:tc>
        <w:tc>
          <w:tcPr>
            <w:tcW w:w="1134" w:type="dxa"/>
            <w:tcBorders>
              <w:top w:val="single" w:sz="4" w:space="0" w:color="auto"/>
              <w:left w:val="single" w:sz="4" w:space="0" w:color="auto"/>
              <w:bottom w:val="single" w:sz="4" w:space="0" w:color="auto"/>
              <w:right w:val="single" w:sz="4" w:space="0" w:color="auto"/>
            </w:tcBorders>
            <w:hideMark/>
          </w:tcPr>
          <w:p w:rsidR="00286E8B" w:rsidRDefault="00286E8B">
            <w:pPr>
              <w:spacing w:after="120"/>
              <w:jc w:val="center"/>
              <w:rPr>
                <w:rFonts w:ascii="Calibri" w:hAnsi="Calibri" w:cs="Calibri"/>
                <w:sz w:val="22"/>
                <w:szCs w:val="22"/>
              </w:rPr>
            </w:pPr>
            <w:r>
              <w:rPr>
                <w:rFonts w:ascii="Calibri" w:hAnsi="Calibri" w:cs="Calibri"/>
                <w:sz w:val="22"/>
                <w:szCs w:val="22"/>
              </w:rPr>
              <w:t>MC</w:t>
            </w:r>
          </w:p>
        </w:tc>
        <w:tc>
          <w:tcPr>
            <w:tcW w:w="1985" w:type="dxa"/>
            <w:tcBorders>
              <w:top w:val="single" w:sz="4" w:space="0" w:color="auto"/>
              <w:left w:val="single" w:sz="4" w:space="0" w:color="auto"/>
              <w:bottom w:val="single" w:sz="4" w:space="0" w:color="auto"/>
              <w:right w:val="single" w:sz="4" w:space="0" w:color="auto"/>
            </w:tcBorders>
            <w:hideMark/>
          </w:tcPr>
          <w:p w:rsidR="00286E8B" w:rsidRDefault="00286E8B">
            <w:pPr>
              <w:spacing w:after="120"/>
              <w:jc w:val="center"/>
              <w:rPr>
                <w:rFonts w:ascii="Calibri" w:hAnsi="Calibri" w:cs="Calibri"/>
                <w:sz w:val="22"/>
                <w:szCs w:val="22"/>
              </w:rPr>
            </w:pPr>
            <w:r>
              <w:rPr>
                <w:rFonts w:ascii="Calibri" w:hAnsi="Calibri" w:cs="Calibri"/>
                <w:sz w:val="22"/>
                <w:szCs w:val="22"/>
              </w:rPr>
              <w:t>OSR</w:t>
            </w:r>
          </w:p>
        </w:tc>
        <w:tc>
          <w:tcPr>
            <w:tcW w:w="6804" w:type="dxa"/>
            <w:tcBorders>
              <w:top w:val="single" w:sz="4" w:space="0" w:color="auto"/>
              <w:left w:val="single" w:sz="4" w:space="0" w:color="auto"/>
              <w:bottom w:val="single" w:sz="4" w:space="0" w:color="auto"/>
              <w:right w:val="single" w:sz="4" w:space="0" w:color="auto"/>
            </w:tcBorders>
            <w:hideMark/>
          </w:tcPr>
          <w:p w:rsidR="00286E8B" w:rsidRDefault="00286E8B">
            <w:pPr>
              <w:spacing w:after="120"/>
              <w:rPr>
                <w:rFonts w:ascii="Calibri" w:hAnsi="Calibri" w:cs="Calibri"/>
                <w:sz w:val="22"/>
                <w:szCs w:val="22"/>
              </w:rPr>
            </w:pPr>
            <w:r>
              <w:rPr>
                <w:rFonts w:ascii="Calibri" w:hAnsi="Calibri" w:cs="Calibri"/>
                <w:sz w:val="22"/>
                <w:szCs w:val="22"/>
              </w:rPr>
              <w:t>Odnosząc się do OSR należy wskazać, że nie przewidziano jakichkolwiek środków finansowych na realizację całkowicie nowych zadań przez ministra właściwego do spraw informatyzacji oraz Prezesa UKE – zgodnie z częścią 6 OSR („Wpływ na sektor finansów publicznych”), „nowe obowiązki wszystkich organów w systemie nadzoru rynku będą wiązały się z zapewnieniem personelu do wykonywania dodatkowych zadań oraz jego szkoleń, a także narzędzi niezbędnych do wykonywania czynności kontrolnych”. A zatem, pomimo potwierdzenia w OSR, że są to całkowicie nowe zadania, nie przeznaczono na ten cel jakichkolwiek funduszy dla ministra właściwego do spraw informatyzacji oraz Prezesa UKE. Podkreślić należy, że zadań tych nie da się realizować bez zapewnienia środków finansowych na m.in.: zatrudnienie pracowników, wyposażenie stanowisk pracy, szkolenia, pokrycie niezbędnych kosztów związanych z badaniem towarów i usług.</w:t>
            </w:r>
          </w:p>
        </w:tc>
        <w:tc>
          <w:tcPr>
            <w:tcW w:w="3544" w:type="dxa"/>
            <w:tcBorders>
              <w:top w:val="single" w:sz="4" w:space="0" w:color="auto"/>
              <w:left w:val="single" w:sz="4" w:space="0" w:color="auto"/>
              <w:bottom w:val="single" w:sz="4" w:space="0" w:color="auto"/>
              <w:right w:val="single" w:sz="4" w:space="0" w:color="auto"/>
            </w:tcBorders>
          </w:tcPr>
          <w:p w:rsidR="00286E8B" w:rsidRDefault="00286E8B">
            <w:pPr>
              <w:spacing w:after="120"/>
              <w:jc w:val="center"/>
              <w:rPr>
                <w:rFonts w:ascii="Calibri" w:hAnsi="Calibri" w:cs="Calibri"/>
                <w:sz w:val="22"/>
                <w:szCs w:val="22"/>
              </w:rPr>
            </w:pPr>
          </w:p>
        </w:tc>
        <w:tc>
          <w:tcPr>
            <w:tcW w:w="1417" w:type="dxa"/>
            <w:tcBorders>
              <w:top w:val="single" w:sz="4" w:space="0" w:color="auto"/>
              <w:left w:val="single" w:sz="4" w:space="0" w:color="auto"/>
              <w:bottom w:val="single" w:sz="4" w:space="0" w:color="auto"/>
              <w:right w:val="single" w:sz="4" w:space="0" w:color="auto"/>
            </w:tcBorders>
          </w:tcPr>
          <w:p w:rsidR="00286E8B" w:rsidRDefault="00286E8B">
            <w:pPr>
              <w:spacing w:after="120"/>
              <w:jc w:val="center"/>
              <w:rPr>
                <w:rFonts w:ascii="Calibri" w:hAnsi="Calibri" w:cs="Calibri"/>
                <w:sz w:val="22"/>
                <w:szCs w:val="22"/>
              </w:rPr>
            </w:pPr>
          </w:p>
        </w:tc>
      </w:tr>
    </w:tbl>
    <w:p w:rsidR="00C64B1B" w:rsidRDefault="00C64B1B" w:rsidP="008644BD">
      <w:pPr>
        <w:jc w:val="center"/>
      </w:pPr>
      <w:bookmarkStart w:id="0" w:name="_GoBack"/>
      <w:bookmarkEnd w:id="0"/>
    </w:p>
    <w:sectPr w:rsidR="00C64B1B" w:rsidSect="00A06425">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1B"/>
    <w:rsid w:val="00034258"/>
    <w:rsid w:val="00140BE8"/>
    <w:rsid w:val="0019648E"/>
    <w:rsid w:val="002715B2"/>
    <w:rsid w:val="00286E8B"/>
    <w:rsid w:val="003124D1"/>
    <w:rsid w:val="003B4105"/>
    <w:rsid w:val="0044742F"/>
    <w:rsid w:val="004D086F"/>
    <w:rsid w:val="00561486"/>
    <w:rsid w:val="00586099"/>
    <w:rsid w:val="005C3444"/>
    <w:rsid w:val="005F6527"/>
    <w:rsid w:val="006609FD"/>
    <w:rsid w:val="006705EC"/>
    <w:rsid w:val="00680E5D"/>
    <w:rsid w:val="006E16E9"/>
    <w:rsid w:val="00710A8A"/>
    <w:rsid w:val="00807385"/>
    <w:rsid w:val="008644BD"/>
    <w:rsid w:val="008901EC"/>
    <w:rsid w:val="008941C9"/>
    <w:rsid w:val="00944932"/>
    <w:rsid w:val="009E5FDB"/>
    <w:rsid w:val="00A06425"/>
    <w:rsid w:val="00A91A42"/>
    <w:rsid w:val="00AC7796"/>
    <w:rsid w:val="00B817C6"/>
    <w:rsid w:val="00B871B6"/>
    <w:rsid w:val="00C14EA0"/>
    <w:rsid w:val="00C64B1B"/>
    <w:rsid w:val="00CC31FC"/>
    <w:rsid w:val="00CD5EB0"/>
    <w:rsid w:val="00DB75EE"/>
    <w:rsid w:val="00E14C33"/>
    <w:rsid w:val="00FA45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986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3</Pages>
  <Words>1090</Words>
  <Characters>6545</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7620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Witkowska-Krzymowska Magdalena</cp:lastModifiedBy>
  <cp:revision>16</cp:revision>
  <dcterms:created xsi:type="dcterms:W3CDTF">2022-08-19T10:45:00Z</dcterms:created>
  <dcterms:modified xsi:type="dcterms:W3CDTF">2022-08-22T11:56:00Z</dcterms:modified>
</cp:coreProperties>
</file>